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1C6E">
      <w:pPr>
        <w:divId w:val="1383410450"/>
        <w:rPr>
          <w:rFonts w:ascii="Georgia" w:eastAsia="Times New Roman" w:hAnsi="Georgia"/>
        </w:rPr>
      </w:pPr>
      <w:bookmarkStart w:id="0" w:name="_GoBack"/>
      <w:r>
        <w:rPr>
          <w:rFonts w:ascii="Georgia" w:eastAsia="Times New Roman" w:hAnsi="Georgia"/>
        </w:rPr>
        <w:t>Распоряжение Минпросвещения России от 27.08.2021 № Р-201</w:t>
      </w:r>
    </w:p>
    <w:p w:rsidR="00000000" w:rsidRDefault="00E21C6E">
      <w:pPr>
        <w:pStyle w:val="2"/>
        <w:divId w:val="6223431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</w:t>
      </w:r>
    </w:p>
    <w:bookmarkEnd w:id="0"/>
    <w:p w:rsidR="00AF07E0" w:rsidRDefault="00AF07E0" w:rsidP="00AF07E0">
      <w:pPr>
        <w:spacing w:after="223"/>
        <w:ind w:right="6"/>
        <w:jc w:val="both"/>
        <w:divId w:val="1153333241"/>
        <w:rPr>
          <w:rFonts w:ascii="Georgia" w:hAnsi="Georgia"/>
        </w:rPr>
      </w:pPr>
      <w:r w:rsidRPr="00AF07E0">
        <w:rPr>
          <w:rFonts w:ascii="Georgia" w:hAnsi="Georgia"/>
        </w:rPr>
        <w:t xml:space="preserve">Редакция от 27 </w:t>
      </w:r>
      <w:proofErr w:type="spellStart"/>
      <w:r w:rsidRPr="00AF07E0">
        <w:rPr>
          <w:rFonts w:ascii="Georgia" w:hAnsi="Georgia"/>
        </w:rPr>
        <w:t>авг</w:t>
      </w:r>
      <w:proofErr w:type="spellEnd"/>
      <w:r w:rsidRPr="00AF07E0">
        <w:rPr>
          <w:rFonts w:ascii="Georgia" w:hAnsi="Georgia"/>
        </w:rPr>
        <w:t xml:space="preserve"> 2021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В соответствии с результатом "С</w:t>
      </w:r>
      <w:r>
        <w:rPr>
          <w:rFonts w:ascii="Georgia" w:hAnsi="Georgia"/>
        </w:rPr>
        <w:t>формирована и функционирует единая федеральная система научно-методического сопровождения педагогических работников и управленческих кадров" паспорта федерального проекта "Современная школа" национального проекта "Образование", утвержденного протоколом зас</w:t>
      </w:r>
      <w:r>
        <w:rPr>
          <w:rFonts w:ascii="Georgia" w:hAnsi="Georgia"/>
        </w:rPr>
        <w:t>едания президиума Совета при Президенте Российской Федерации по стратегическому развитию и национальным проектам от 17 декабря 2020 г. № 14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1. Утвердить </w:t>
      </w:r>
      <w:hyperlink r:id="rId4" w:anchor="/document/99/608717062/XA00LVS2MC/" w:tgtFrame="_self" w:history="1">
        <w:r>
          <w:rPr>
            <w:rStyle w:val="a4"/>
            <w:rFonts w:ascii="Georgia" w:hAnsi="Georgia"/>
          </w:rPr>
          <w:t>методические рек</w:t>
        </w:r>
        <w:r>
          <w:rPr>
            <w:rStyle w:val="a4"/>
            <w:rFonts w:ascii="Georgia" w:hAnsi="Georgia"/>
          </w:rPr>
          <w:t>омендации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</w:t>
        </w:r>
      </w:hyperlink>
      <w:r>
        <w:rPr>
          <w:rFonts w:ascii="Georgia" w:hAnsi="Georgia"/>
        </w:rPr>
        <w:t>, обеспечивающих достижение целей, показателей и результата фед</w:t>
      </w:r>
      <w:r>
        <w:rPr>
          <w:rFonts w:ascii="Georgia" w:hAnsi="Georgia"/>
        </w:rPr>
        <w:t>ерального проекта "Современная школа" национального проекта "Образование" (далее - методические рекомендации)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2. Департаменту подготовки, профессионального развития и социального обеспечения педагогических работников (</w:t>
      </w:r>
      <w:proofErr w:type="spellStart"/>
      <w:r>
        <w:rPr>
          <w:rFonts w:ascii="Georgia" w:hAnsi="Georgia"/>
        </w:rPr>
        <w:t>Милёхин</w:t>
      </w:r>
      <w:proofErr w:type="spellEnd"/>
      <w:r>
        <w:rPr>
          <w:rFonts w:ascii="Georgia" w:hAnsi="Georgia"/>
        </w:rPr>
        <w:t xml:space="preserve"> А.В.) обеспечить координацию </w:t>
      </w:r>
      <w:r>
        <w:rPr>
          <w:rFonts w:ascii="Georgia" w:hAnsi="Georgia"/>
        </w:rPr>
        <w:t>работ по формированию единых подходов к обеспечению персонифицированного повышения квалификации педагогических работников и управленческих кадров на основе выявленных профессиональных дефицитов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3. Федеральному государственному автономному образовательному</w:t>
      </w:r>
      <w:r>
        <w:rPr>
          <w:rFonts w:ascii="Georgia" w:hAnsi="Georgia"/>
        </w:rPr>
        <w:t xml:space="preserve"> учреждению дополнительного профессионального образования "Академия реализации государственной политики профессионального развития работников образования Министерства просвещения Российской Федерации" (Кузьмин П.В.) обеспечить организационно-техническое со</w:t>
      </w:r>
      <w:r>
        <w:rPr>
          <w:rFonts w:ascii="Georgia" w:hAnsi="Georgia"/>
        </w:rPr>
        <w:t>провождение мероприятий по формированию единых подходов к обеспечению персонифицированного повышения квалификации педагогических работников и управленческих кадров на основе выявленных профессиональных дефицитов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4. Контроль за исполнением настоящего распо</w:t>
      </w:r>
      <w:r>
        <w:rPr>
          <w:rFonts w:ascii="Georgia" w:hAnsi="Georgia"/>
        </w:rPr>
        <w:t>ряжения оставляю за собой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divId w:val="1702590329"/>
        <w:rPr>
          <w:rFonts w:ascii="Georgia" w:hAnsi="Georgia"/>
        </w:rPr>
      </w:pPr>
      <w:r>
        <w:rPr>
          <w:rFonts w:ascii="Georgia" w:hAnsi="Georgia"/>
        </w:rPr>
        <w:t>Заместитель Министра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А.В.Зырянова</w:t>
      </w:r>
      <w:proofErr w:type="spellEnd"/>
      <w:r>
        <w:rPr>
          <w:rFonts w:ascii="Georgia" w:hAnsi="Georgia"/>
        </w:rPr>
        <w:t xml:space="preserve"> </w:t>
      </w:r>
    </w:p>
    <w:p w:rsidR="00000000" w:rsidRDefault="00E21C6E">
      <w:pPr>
        <w:pStyle w:val="align-right"/>
        <w:divId w:val="197579370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распоряжением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27 августа 2021 года № Р-201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21C6E">
      <w:pPr>
        <w:divId w:val="6792809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Методические рекомендации по порядку и формам диагностики профессиональных дефицитов педаг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огических работников и управленческих кадров образовательных организаций с возможностью получения индивидуального план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E21C6E">
      <w:pPr>
        <w:divId w:val="6984357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порядку и формам диагностики профессиональных дефицитов педагогических работников и управленческих</w:t>
      </w:r>
      <w:r>
        <w:rPr>
          <w:rFonts w:ascii="Georgia" w:hAnsi="Georgia"/>
        </w:rPr>
        <w:t xml:space="preserve"> кадров образовательных организаций с возможностью получения индивидуального плана (далее - Рекомендации) носят рекомендательный характер и разработаны в рамках внедрения единой федеральной системы научно-методического сопровождения педагогических работник</w:t>
      </w:r>
      <w:r>
        <w:rPr>
          <w:rFonts w:ascii="Georgia" w:hAnsi="Georgia"/>
        </w:rPr>
        <w:t>ов и управленческих кадров [1] в целях формирования единых подходов к обеспечению персонифицированного повышения квалификации педагогических работников и управленческих кадров на основе выявленных профессиональных дефицитов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Рекомендации предназначены для </w:t>
      </w:r>
      <w:r>
        <w:rPr>
          <w:rFonts w:ascii="Georgia" w:hAnsi="Georgia"/>
        </w:rPr>
        <w:t>руководителей и работников организаций, функционирующих в системе дополнительного профессионального образования, а также непосредственно для педагогических работников</w:t>
      </w:r>
      <w:r>
        <w:rPr>
          <w:rFonts w:ascii="Georgia" w:hAnsi="Georgia"/>
        </w:rPr>
        <w:t>.</w:t>
      </w:r>
    </w:p>
    <w:p w:rsidR="00000000" w:rsidRDefault="00E21C6E">
      <w:pPr>
        <w:divId w:val="2402157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1.1. Под единой федеральной системой научно-методического сопровожден</w:t>
      </w:r>
      <w:r>
        <w:rPr>
          <w:rFonts w:ascii="Georgia" w:hAnsi="Georgia"/>
        </w:rPr>
        <w:t>ия педагогических работников и управленческих кадров (далее - ЕФС) понимается совокупность взаимосвязанных и интегрированных между собой, но при этом относительно самостоятельных субъектов научно-методической деятельности федерального, регионального и муни</w:t>
      </w:r>
      <w:r>
        <w:rPr>
          <w:rFonts w:ascii="Georgia" w:hAnsi="Georgia"/>
        </w:rPr>
        <w:t xml:space="preserve">ципального уровней, обеспечивающих сопровождение педагогов и управленческих кадров в повышении квалификации, переподготовке, в том числе с учетом выявления профессиональных дефицитов и построения на их основе индивидуальных маршрутов непрерывного развития </w:t>
      </w:r>
      <w:r>
        <w:rPr>
          <w:rFonts w:ascii="Georgia" w:hAnsi="Georgia"/>
        </w:rPr>
        <w:t xml:space="preserve">профессионального мастерства, а также использования </w:t>
      </w:r>
      <w:proofErr w:type="spellStart"/>
      <w:r>
        <w:rPr>
          <w:rFonts w:ascii="Georgia" w:hAnsi="Georgia"/>
        </w:rPr>
        <w:t>стажировочных</w:t>
      </w:r>
      <w:proofErr w:type="spellEnd"/>
      <w:r>
        <w:rPr>
          <w:rFonts w:ascii="Georgia" w:hAnsi="Georgia"/>
        </w:rPr>
        <w:t xml:space="preserve"> площадок, сетевых форм взаимодействия и внедрения механизмов наставничества [1]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Структурными элементами ЕФС являются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федеральный координатор (ФГАОУ ДПО "Академия Минпросвещения России"),</w:t>
      </w:r>
      <w:r>
        <w:rPr>
          <w:rFonts w:ascii="Georgia" w:hAnsi="Georgia"/>
        </w:rPr>
        <w:t xml:space="preserve"> осуществляющий функции Федерального центра непрерывного повышения профессионального мастерства педагогических работников, являющийся оператором деятельности региональной сети ЦНППМ, разрабатывающим показатели эффективности их работы, оказывающим методичес</w:t>
      </w:r>
      <w:r>
        <w:rPr>
          <w:rFonts w:ascii="Georgia" w:hAnsi="Georgia"/>
        </w:rPr>
        <w:t>кую, организационную и содержательную поддержку, проводящим мониторинг результатов их деятельности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федеральные центры научно-методического сопровождения педагогических работников, осуществляющие функции по разработке, апробации и внедрению: концептуальн</w:t>
      </w:r>
      <w:r>
        <w:rPr>
          <w:rFonts w:ascii="Georgia" w:hAnsi="Georgia"/>
        </w:rPr>
        <w:t>ых положений и моделей опережающего профессионального развития современного педагога в сетевом формате; подходов к совершенствованию региональных систем научно-методического сопровождения педагогов с учетом специфики регионов; вариативных моделей непрерывн</w:t>
      </w:r>
      <w:r>
        <w:rPr>
          <w:rFonts w:ascii="Georgia" w:hAnsi="Georgia"/>
        </w:rPr>
        <w:t>ого педагогического образования, включая среднее профессиональное и дополнительное профессиональное образование, в сетевом формате; моделей выявления, отбора и сопровождения педагогически одаренной молодежи; диагностических комплексов профессиональных комп</w:t>
      </w:r>
      <w:r>
        <w:rPr>
          <w:rFonts w:ascii="Georgia" w:hAnsi="Georgia"/>
        </w:rPr>
        <w:t>етенций педагогов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центры непрерывного повышения профессионального мастерства педагогических работников (далее - ЦНППМ), выступающие координаторами региональной инфраструктуры системы научно-методического сопровождения педагогических работников и управле</w:t>
      </w:r>
      <w:r>
        <w:rPr>
          <w:rFonts w:ascii="Georgia" w:hAnsi="Georgia"/>
        </w:rPr>
        <w:t>нческих кадров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региональные системы научно-методического сопровождения педагогических работников и управленческих кадров (далее - РС НМС) - совокупность региональных организаций, имеющих соответствующую лицензию, а также лица, ответственные за организац</w:t>
      </w:r>
      <w:r>
        <w:rPr>
          <w:rFonts w:ascii="Georgia" w:hAnsi="Georgia"/>
        </w:rPr>
        <w:t>ию методической (научно-методической) работы в образовательных организациях, региональные органы исполнительной власти, осуществляющие государственное управление в сфере образования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региональные учебно-методические объединения, методические советы, мето</w:t>
      </w:r>
      <w:r>
        <w:rPr>
          <w:rFonts w:ascii="Georgia" w:hAnsi="Georgia"/>
        </w:rPr>
        <w:t>дические отделы в региональных (муниципальных) органах власти, осуществляющие государственное управление в сфере образования, и иные общественно-профессиональные объединения, ассоциации, комиссии, советы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Выстраивание единой системы профессионального разви</w:t>
      </w:r>
      <w:r>
        <w:rPr>
          <w:rFonts w:ascii="Georgia" w:hAnsi="Georgia"/>
        </w:rPr>
        <w:t>тия педагогических работников и управленческих кадров, сопровождения индивидуальных траекторий их развития, является одной из ключевых задач региональных ЦНППМ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1.2. Актуальность создания ЕФС определяется значимостью профессиональной деятельности педагогов</w:t>
      </w:r>
      <w:r>
        <w:rPr>
          <w:rFonts w:ascii="Georgia" w:hAnsi="Georgia"/>
        </w:rPr>
        <w:t xml:space="preserve"> в достижении приоритетных национальных задач и обеспечении повышения качества образования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Одним из целевых показателей, характеризующих достижение национальной цели "Возможности для самореализации и развития талантов", определяемой</w:t>
      </w:r>
      <w:r>
        <w:rPr>
          <w:rFonts w:ascii="Georgia" w:hAnsi="Georgia"/>
        </w:rPr>
        <w:t xml:space="preserve"> </w:t>
      </w:r>
      <w:hyperlink r:id="rId5" w:anchor="/document/99/565341150/XA00M1S2LR/" w:history="1">
        <w:r>
          <w:rPr>
            <w:rStyle w:val="a4"/>
            <w:rFonts w:ascii="Georgia" w:hAnsi="Georgia"/>
          </w:rPr>
          <w:t>Указом Президента Российской Федерации "О национальных целях развития Российской Федерации на период до 2030 года"</w:t>
        </w:r>
      </w:hyperlink>
      <w:r>
        <w:rPr>
          <w:rFonts w:ascii="Georgia" w:hAnsi="Georgia"/>
        </w:rPr>
        <w:t xml:space="preserve"> [2], является вхождение Российской Федерации в число десяти ведущих стран мира по качест</w:t>
      </w:r>
      <w:r>
        <w:rPr>
          <w:rFonts w:ascii="Georgia" w:hAnsi="Georgia"/>
        </w:rPr>
        <w:t>ву общего образования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Поддержка педагогов в сфере общего образования, способных решать задачи национальной образовательной политики, становится возможной только в ситуации построения единой и непрерывной вариативной системы адресного научно-методического </w:t>
      </w:r>
      <w:r>
        <w:rPr>
          <w:rFonts w:ascii="Georgia" w:hAnsi="Georgia"/>
        </w:rPr>
        <w:t>сопровождения учителя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Решение этой задачи неразрывно связано с персонифицированным повышением квалификации педагогических работников и управленческих кадров системы общего образования и сопровождением их непрерывного развития на основе выявленных професси</w:t>
      </w:r>
      <w:r>
        <w:rPr>
          <w:rFonts w:ascii="Georgia" w:hAnsi="Georgia"/>
        </w:rPr>
        <w:t>ональных дефицитов</w:t>
      </w:r>
      <w:r>
        <w:rPr>
          <w:rFonts w:ascii="Georgia" w:hAnsi="Georgia"/>
        </w:rPr>
        <w:t>.</w:t>
      </w:r>
    </w:p>
    <w:p w:rsidR="00000000" w:rsidRDefault="00E21C6E">
      <w:pPr>
        <w:divId w:val="132649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Основания проведения диагностики профессиональных дефицито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Нормативными правовыми основаниями проведения диагностики профессиональных дефицитов педагогических работников и управленческих кадров образовательных организаций (далее - диагностика профессиональных дефицитов) являются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6" w:anchor="/document/99/902389617/XA00M1S2LR/" w:history="1">
        <w:r>
          <w:rPr>
            <w:rStyle w:val="a4"/>
            <w:rFonts w:ascii="Georgia" w:hAnsi="Georgia"/>
          </w:rPr>
          <w:t>Федеральный закон от 29 декабря 2012 г. № 273-ФЗ "Об образовании в Российской Федерации"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7" w:anchor="/document/99/565341150/XA00M1S2LR/" w:history="1">
        <w:r>
          <w:rPr>
            <w:rStyle w:val="a4"/>
            <w:rFonts w:ascii="Georgia" w:hAnsi="Georgia"/>
          </w:rPr>
          <w:t>указ Президента Российской Федерации от 21 июл</w:t>
        </w:r>
        <w:r>
          <w:rPr>
            <w:rStyle w:val="a4"/>
            <w:rFonts w:ascii="Georgia" w:hAnsi="Georgia"/>
          </w:rPr>
          <w:t>я 2020 г. № 474 "О национальных целях развития Российской Федерации на период до 2030 года"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8" w:anchor="/document/99/564112504/XA00M6G2N3/" w:history="1">
        <w:r>
          <w:rPr>
            <w:rStyle w:val="a4"/>
            <w:rFonts w:ascii="Georgia" w:hAnsi="Georgia"/>
          </w:rPr>
          <w:t>распоряжение Правительства Российской Федерации от 31 декабря 2019 г. № 3273-р "Об утв</w:t>
        </w:r>
        <w:r>
          <w:rPr>
            <w:rStyle w:val="a4"/>
            <w:rFonts w:ascii="Georgia" w:hAnsi="Georgia"/>
          </w:rPr>
          <w:t>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педагогического роста"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паспорт федерального проекта "Современная школа" национального проекта "Образова</w:t>
      </w:r>
      <w:r>
        <w:rPr>
          <w:rFonts w:ascii="Georgia" w:hAnsi="Georgia"/>
        </w:rPr>
        <w:t>ние"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распоряжение Министерства просвещения Российской Федерации от 16 декабря 2020 г. № Р-174 "Об утверждении Концепции создания единой федеральной системы научно-методического сопровождения педагогических работников и управленческих кадров"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9" w:anchor="/document/99/573529566/XA00M6G2N3/" w:history="1">
        <w:r>
          <w:rPr>
            <w:rStyle w:val="a4"/>
            <w:rFonts w:ascii="Georgia" w:hAnsi="Georgia"/>
          </w:rPr>
          <w:t>распоряжение Министерства просвещения Российской Федерации от 4 февраля 2021 г. № Р-33 "Об утверждении методических рекомендаций по реализации мероприятий по формированию и обеспечению функ</w:t>
        </w:r>
        <w:r>
          <w:rPr>
            <w:rStyle w:val="a4"/>
            <w:rFonts w:ascii="Georgia" w:hAnsi="Georgia"/>
          </w:rPr>
          <w:t>ционирования единой федеральной системы научно-методического сопровождения педагогических работников и управленческих кадров"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10" w:anchor="/document/99/499053710/" w:history="1">
        <w:r>
          <w:rPr>
            <w:rStyle w:val="a4"/>
            <w:rFonts w:ascii="Georgia" w:hAnsi="Georgia"/>
          </w:rPr>
          <w:t>приказ Министерства труда и социальной защиты Российской Федера</w:t>
        </w:r>
        <w:r>
          <w:rPr>
            <w:rStyle w:val="a4"/>
            <w:rFonts w:ascii="Georgia" w:hAnsi="Georgia"/>
          </w:rPr>
          <w:t>ции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В рамках реализации диагности</w:t>
      </w:r>
      <w:r>
        <w:rPr>
          <w:rFonts w:ascii="Georgia" w:hAnsi="Georgia"/>
        </w:rPr>
        <w:t>ки профессиональных дефицитов следует также учитывать первоочередные шаги по модернизации региональных систем повышения квалификации, профессионального развития работников образования, изложенные в письме Министерства образования и науки Российской Федерац</w:t>
      </w:r>
      <w:r>
        <w:rPr>
          <w:rFonts w:ascii="Georgia" w:hAnsi="Georgia"/>
        </w:rPr>
        <w:t>ии от 27 декабря 2017 г. № 08-2739 "О модернизации системы дополнительного педагогического образования в Российской Федерации"</w:t>
      </w:r>
      <w:r>
        <w:rPr>
          <w:rFonts w:ascii="Georgia" w:hAnsi="Georgia"/>
        </w:rPr>
        <w:t>.</w:t>
      </w:r>
    </w:p>
    <w:p w:rsidR="00000000" w:rsidRDefault="00E21C6E">
      <w:pPr>
        <w:divId w:val="2019438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поняти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В Рекомендациях применяются определения, термины и понятия, определенные нормативными правовыми актами, изло</w:t>
      </w:r>
      <w:r>
        <w:rPr>
          <w:rFonts w:ascii="Georgia" w:hAnsi="Georgia"/>
        </w:rPr>
        <w:t xml:space="preserve">женными в </w:t>
      </w:r>
      <w:hyperlink r:id="rId11" w:anchor="/document/99/608717062/XA00M3G2M3/" w:tgtFrame="_self" w:history="1">
        <w:r>
          <w:rPr>
            <w:rStyle w:val="a4"/>
            <w:rFonts w:ascii="Georgia" w:hAnsi="Georgia"/>
          </w:rPr>
          <w:t>разделе 2 Рекомендаций</w:t>
        </w:r>
      </w:hyperlink>
      <w:r>
        <w:rPr>
          <w:rFonts w:ascii="Georgia" w:hAnsi="Georgia"/>
        </w:rPr>
        <w:t>, а также следующие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  <w:i/>
          <w:iCs/>
        </w:rPr>
        <w:t>Индивидуальный план</w:t>
      </w:r>
      <w:r>
        <w:rPr>
          <w:rFonts w:ascii="Georgia" w:hAnsi="Georgia"/>
        </w:rPr>
        <w:t xml:space="preserve"> - комплекс мероприятий, включающий описание содержания, форм организации, технологий, темпа и общ</w:t>
      </w:r>
      <w:r>
        <w:rPr>
          <w:rFonts w:ascii="Georgia" w:hAnsi="Georgia"/>
        </w:rPr>
        <w:t>его времени освоения педагогическим работником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 учитывающем актуальные дефициты проф</w:t>
      </w:r>
      <w:r>
        <w:rPr>
          <w:rFonts w:ascii="Georgia" w:hAnsi="Georgia"/>
        </w:rPr>
        <w:t>ессиональных компетенций педагога, его личные ресурсы, педагогический контекст образовательной организации, в которой он работает, а также возможности и ресурсы системы дополнительного профессионального образования (федерального и регионального уровня)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  <w:i/>
          <w:iCs/>
        </w:rPr>
        <w:t>Профессиональные компетенции педагогического работника</w:t>
      </w:r>
      <w:r>
        <w:rPr>
          <w:rFonts w:ascii="Georgia" w:hAnsi="Georgia"/>
        </w:rPr>
        <w:t xml:space="preserve"> - совокупность предметных, методических, психолого-педагогических и коммуникативных компетенций, необходимых для выполнения трудовых функций в области обучения, воспитания и развития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  <w:i/>
          <w:iCs/>
        </w:rPr>
        <w:t>Тест</w:t>
      </w:r>
      <w:r>
        <w:rPr>
          <w:rFonts w:ascii="Georgia" w:hAnsi="Georgia"/>
        </w:rPr>
        <w:t xml:space="preserve"> - система ст</w:t>
      </w:r>
      <w:r>
        <w:rPr>
          <w:rFonts w:ascii="Georgia" w:hAnsi="Georgia"/>
        </w:rPr>
        <w:t>андартизированных заданий возрастающей трудности, позволяющая эффективно измерить и качественно оценить уровень подготовленности к профессиональной деятельности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  <w:i/>
          <w:iCs/>
        </w:rPr>
        <w:t>Управленческие компетенции</w:t>
      </w:r>
      <w:r>
        <w:rPr>
          <w:rFonts w:ascii="Georgia" w:hAnsi="Georgia"/>
        </w:rPr>
        <w:t xml:space="preserve"> - совокупность компетенций в области управления процессами, ресурса</w:t>
      </w:r>
      <w:r>
        <w:rPr>
          <w:rFonts w:ascii="Georgia" w:hAnsi="Georgia"/>
        </w:rPr>
        <w:t>ми, кадрами, результатами, информацией, необходимых для выполнения должностных обязанностей руководителя образовательной организации</w:t>
      </w:r>
      <w:r>
        <w:rPr>
          <w:rFonts w:ascii="Georgia" w:hAnsi="Georgia"/>
        </w:rPr>
        <w:t>.</w:t>
      </w:r>
    </w:p>
    <w:p w:rsidR="00000000" w:rsidRDefault="00E21C6E">
      <w:pPr>
        <w:divId w:val="19488544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Направления диагностики профессиональных дефицито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Направления диагностики профессиональных дефицитов педагогических ра</w:t>
      </w:r>
      <w:r>
        <w:rPr>
          <w:rFonts w:ascii="Georgia" w:hAnsi="Georgia"/>
        </w:rPr>
        <w:t>ботников обусловлены нормативно закрепленным перечнем профессиональных компетенций [3]: предметных, методических, психолого-педагогических, коммуникативных компетенций, которые связаны с трудовыми функциями</w:t>
      </w:r>
      <w:r>
        <w:rPr>
          <w:rFonts w:ascii="Georgia" w:hAnsi="Georgia"/>
        </w:rPr>
        <w:t xml:space="preserve"> </w:t>
      </w:r>
      <w:hyperlink r:id="rId12" w:anchor="/document/99/499053710/XA00LUO2M6/" w:history="1">
        <w:r>
          <w:rPr>
            <w:rStyle w:val="a4"/>
            <w:rFonts w:ascii="Georgia" w:hAnsi="Georgia"/>
          </w:rPr>
          <w:t>профессионального стандарта "Педагог"</w:t>
        </w:r>
      </w:hyperlink>
      <w:r>
        <w:rPr>
          <w:rFonts w:ascii="Georgia" w:hAnsi="Georgia"/>
        </w:rPr>
        <w:t xml:space="preserve"> [4]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Направления диагностики профессиональных дефицитов управленческих кадров обусловлены закрепленными должностными обязанностями [5], связанными с управлением процессами, ресурсами, кадрами,</w:t>
      </w:r>
      <w:r>
        <w:rPr>
          <w:rFonts w:ascii="Georgia" w:hAnsi="Georgia"/>
        </w:rPr>
        <w:t xml:space="preserve"> результатами [6] и требованиями в области управления информацией [7]</w:t>
      </w:r>
      <w:r>
        <w:rPr>
          <w:rFonts w:ascii="Georgia" w:hAnsi="Georgia"/>
        </w:rPr>
        <w:t>.</w:t>
      </w:r>
    </w:p>
    <w:p w:rsidR="00000000" w:rsidRDefault="00E21C6E">
      <w:pPr>
        <w:divId w:val="3260557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Формы диагностики профессиональных дефицито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5.1. Формами диагностики профессиональных дефицитов являются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диагностика профессиональных дефицитов на основании стандартизированных о</w:t>
      </w:r>
      <w:r>
        <w:rPr>
          <w:rFonts w:ascii="Georgia" w:hAnsi="Georgia"/>
        </w:rPr>
        <w:t>ценочных процедур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самодиагностика профессиональных дефицитов на основании рефлексии профессиональной деятельности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диагностика профессиональных дефицитов на основании результатов профессиональной деятельности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- диагностика профессиональных дефицитов </w:t>
      </w:r>
      <w:r>
        <w:rPr>
          <w:rFonts w:ascii="Georgia" w:hAnsi="Georgia"/>
        </w:rPr>
        <w:t>на основании экспертной оценки практической (предметно-методической/управленческой) деятельности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Диагностика профессиональных дефицитов основывается на вариативном, уровневом и комплексном подходах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вариативный подход проявляется в применении имеющих ра</w:t>
      </w:r>
      <w:r>
        <w:rPr>
          <w:rFonts w:ascii="Georgia" w:hAnsi="Georgia"/>
        </w:rPr>
        <w:t>зные основания форм диагностики профессиональных компетенций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уровневый подход предполагает выявление разных уровней (минимальный, средний, высокий) профессиональных дефицитов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комплексный подход проявляется в одновременном применении разных форм диагностики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5.2. Диагностика профессиональных дефицитов на основании стандартизированных оценочных процедур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Диагностика производится посредством выполнения диагностической работы с и</w:t>
      </w:r>
      <w:r>
        <w:rPr>
          <w:rFonts w:ascii="Georgia" w:hAnsi="Georgia"/>
        </w:rPr>
        <w:t>спользованием стандартизированного инструментария, спроектированного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для педагогических работников по блокам профессиональных компетенций (предметных, методических, психолого-педагогических, коммуникативных)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для управленческих кадров по функциональны</w:t>
      </w:r>
      <w:r>
        <w:rPr>
          <w:rFonts w:ascii="Georgia" w:hAnsi="Georgia"/>
        </w:rPr>
        <w:t>м блокам управления (процессами, ресурсами, кадрами, результатами, информацией)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Диагностика профессиональных дефицитов на основании стандартизированных оценочных процедур может осуществляться как отдельное диагностическое мероприятие либо в рамках входног</w:t>
      </w:r>
      <w:r>
        <w:rPr>
          <w:rFonts w:ascii="Georgia" w:hAnsi="Georgia"/>
        </w:rPr>
        <w:t>о/итогового тестирования при обучении по дополнительной профессиональной программе повышения квалификации (далее - ДПП ПК). Тематика ДПП ПК определяет направленность диагностических заданий входного/итогового тестирования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Каждый блок диагностических задан</w:t>
      </w:r>
      <w:r>
        <w:rPr>
          <w:rFonts w:ascii="Georgia" w:hAnsi="Georgia"/>
        </w:rPr>
        <w:t>ий должен содержать тестовые задания различных видов (выбор одного ответа или нескольких, установление соответствия или последовательности, формулировка краткого/развернутого ответа)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Диагностика профессиональных дефицитов осуществляется на основе уровнево</w:t>
      </w:r>
      <w:r>
        <w:rPr>
          <w:rFonts w:ascii="Georgia" w:hAnsi="Georgia"/>
        </w:rPr>
        <w:t xml:space="preserve">го подхода и позволяет выявить несколько </w:t>
      </w:r>
      <w:proofErr w:type="spellStart"/>
      <w:r>
        <w:rPr>
          <w:rFonts w:ascii="Georgia" w:hAnsi="Georgia"/>
        </w:rPr>
        <w:t>дефицитарных</w:t>
      </w:r>
      <w:proofErr w:type="spellEnd"/>
      <w:r>
        <w:rPr>
          <w:rFonts w:ascii="Georgia" w:hAnsi="Georgia"/>
        </w:rPr>
        <w:t xml:space="preserve"> уровней: высокий, средний, низкий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Применительно к предметным компетенциям педагогических работников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высокий уровень свидетельствует о слабой предметной подготовке учителя, которая позволяет выполнят</w:t>
      </w:r>
      <w:r>
        <w:rPr>
          <w:rFonts w:ascii="Georgia" w:hAnsi="Georgia"/>
        </w:rPr>
        <w:t>ь задания преимущественно базового уровня сложности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средний уровень свидетельствует о недостаточной предметной подготовке учителя, которая позволяет выполнять задания базового и частично продвинутого уровня сложности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- низкий уровень свидетельствует о </w:t>
      </w:r>
      <w:r>
        <w:rPr>
          <w:rFonts w:ascii="Georgia" w:hAnsi="Georgia"/>
        </w:rPr>
        <w:t>достаточной предметной подготовке учителя, которая обеспечивает выполнение заданий всех уровней сложности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Высокий уровень дефицита методических, психолого-педагогических, коммуникативных компетенций означает неумение решать стандартные профессиональные за</w:t>
      </w:r>
      <w:r>
        <w:rPr>
          <w:rFonts w:ascii="Georgia" w:hAnsi="Georgia"/>
        </w:rPr>
        <w:t>дачи. Средний - неумение решать профессиональные задачи в новых условиях. Минимальный - неумение решать профессиональные задачи в нестандартных ситуациях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Применительно к управленческим кадрам: высокий уровень дефицита управленческих компетенций означает н</w:t>
      </w:r>
      <w:r>
        <w:rPr>
          <w:rFonts w:ascii="Georgia" w:hAnsi="Georgia"/>
        </w:rPr>
        <w:t>еумение решать стандартные управленческие задачи, средний - неумение решать управленческие задачи в новых условиях, минимальный - неумение решать управленческие задачи в нестандартных ситуациях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В </w:t>
      </w:r>
      <w:hyperlink r:id="rId13" w:anchor="/document/99/608717062/XA00M922N3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 xml:space="preserve"> представлены рекомендации к определению уровней профессиональных дефицитов и способам их восполнения (на примере предметных дефицитов)</w:t>
      </w:r>
      <w:r>
        <w:rPr>
          <w:rFonts w:ascii="Georgia" w:hAnsi="Georgia"/>
        </w:rPr>
        <w:t>.</w:t>
      </w:r>
    </w:p>
    <w:p w:rsidR="00000000" w:rsidRDefault="00E21C6E">
      <w:pPr>
        <w:pStyle w:val="align-right"/>
        <w:divId w:val="1153333241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93"/>
        <w:gridCol w:w="2767"/>
        <w:gridCol w:w="3495"/>
      </w:tblGrid>
      <w:tr w:rsidR="00000000">
        <w:trPr>
          <w:divId w:val="1361322600"/>
        </w:trPr>
        <w:tc>
          <w:tcPr>
            <w:tcW w:w="3696" w:type="dxa"/>
            <w:vAlign w:val="center"/>
            <w:hideMark/>
          </w:tcPr>
          <w:p w:rsidR="00000000" w:rsidRDefault="00E21C6E">
            <w:pPr>
              <w:rPr>
                <w:rFonts w:ascii="Georgia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21C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E21C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132260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Результативность диагностики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proofErr w:type="spellStart"/>
            <w:r>
              <w:t>Дефицитарный</w:t>
            </w:r>
            <w:proofErr w:type="spellEnd"/>
            <w:r>
              <w:t xml:space="preserve"> уровень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Рекомендации по </w:t>
            </w:r>
            <w:r>
              <w:t xml:space="preserve">способам восполнения предметных дефицитов </w:t>
            </w:r>
          </w:p>
        </w:tc>
      </w:tr>
      <w:tr w:rsidR="00000000">
        <w:trPr>
          <w:divId w:val="136132260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менее 60% выполнения диагностических заданий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Высокий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Профессиональное развитие по технологии индивидуального плана </w:t>
            </w:r>
          </w:p>
        </w:tc>
      </w:tr>
      <w:tr w:rsidR="00000000">
        <w:trPr>
          <w:divId w:val="136132260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61-80% выполнения диагностических заданий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Средний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Профессиональное развитие по технологии индивидуального плана или повышение квалификации по предметным программам </w:t>
            </w:r>
          </w:p>
        </w:tc>
      </w:tr>
      <w:tr w:rsidR="00000000">
        <w:trPr>
          <w:divId w:val="1361322600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81-100% выполнения диагностических заданий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Минимальный или отсутствие дефицита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21C6E">
            <w:pPr>
              <w:pStyle w:val="align-center"/>
            </w:pPr>
            <w:r>
              <w:t xml:space="preserve">Профессиональнее развитие в области предметных компетенций </w:t>
            </w:r>
            <w:r>
              <w:t xml:space="preserve">на основе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 </w:t>
            </w:r>
          </w:p>
        </w:tc>
      </w:tr>
    </w:tbl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Инструментарием диагностики профессиональных дефицитов на основании стандартизированных оценочных процедур являются тесты с заданиями закрытого и открытого типа. Тестирование является приоритетной проце</w:t>
      </w:r>
      <w:r>
        <w:rPr>
          <w:rFonts w:ascii="Georgia" w:hAnsi="Georgia"/>
        </w:rPr>
        <w:t>дурой диагностики, поскольку позволяет получить объективные данные о профессиональных дефицитах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  <w:i/>
          <w:iCs/>
        </w:rPr>
        <w:t>Особенности требований к тестовым заданиям закрытого тип</w:t>
      </w:r>
      <w:r>
        <w:rPr>
          <w:rFonts w:ascii="Georgia" w:hAnsi="Georgia"/>
          <w:i/>
          <w:iCs/>
        </w:rPr>
        <w:t>а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Типы заданий: задания с выбором одного правильного ответа, задания с множественным выбором, задания н</w:t>
      </w:r>
      <w:r>
        <w:rPr>
          <w:rFonts w:ascii="Georgia" w:hAnsi="Georgia"/>
        </w:rPr>
        <w:t>а установление соответствия, задания на установление последовательности (порядка)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Требования к содержанию заданий теста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краткая, ясная и однозначная формулировка заданий, которую разработчик и участник диагностики трактуют одинаково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исключение качес</w:t>
      </w:r>
      <w:r>
        <w:rPr>
          <w:rFonts w:ascii="Georgia" w:hAnsi="Georgia"/>
        </w:rPr>
        <w:t>твенных характеристик (эффективно, оптимально, достаточно и т.п.) или пояснение их через количественные характеристики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недопустимость использования слов-подсказок в тексте заданий и вариантах ответов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ответ на отдельное задание не должен быть подсказк</w:t>
      </w:r>
      <w:r>
        <w:rPr>
          <w:rFonts w:ascii="Georgia" w:hAnsi="Georgia"/>
        </w:rPr>
        <w:t>ой к другим заданиям теста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одинаковая привлекательность для выбора всего меню ответов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проектирование вариантов ответа по одному основанию (например, если один вариант ответа является конкретным, частным случаем, то и другие должны быть конкретными, а</w:t>
      </w:r>
      <w:r>
        <w:rPr>
          <w:rFonts w:ascii="Georgia" w:hAnsi="Georgia"/>
        </w:rPr>
        <w:t xml:space="preserve"> не общими случаями)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Уровни сложности заданий теста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первый уровень направлен на выявление знаний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второй уровень направлен на выявление умений применять знания в типичных ситуациях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третий уровень направлен на выявление умений применять знания в нестандартных ситуациях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Для обеспечения вариативности теста рекомендуется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включать в тест 4 параллельных варианта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не использовать идентичные задания в параллельных вариантах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исполь</w:t>
      </w:r>
      <w:r>
        <w:rPr>
          <w:rFonts w:ascii="Georgia" w:hAnsi="Georgia"/>
        </w:rPr>
        <w:t>зовать не менее трех разных форм заданий в каждом варианте теста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- следовать принципу </w:t>
      </w:r>
      <w:proofErr w:type="spellStart"/>
      <w:r>
        <w:rPr>
          <w:rFonts w:ascii="Georgia" w:hAnsi="Georgia"/>
        </w:rPr>
        <w:t>фасетных</w:t>
      </w:r>
      <w:proofErr w:type="spellEnd"/>
      <w:r>
        <w:rPr>
          <w:rFonts w:ascii="Georgia" w:hAnsi="Georgia"/>
        </w:rPr>
        <w:t xml:space="preserve"> заданий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1obraz.ru/system/content/image/52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2/1/2782424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параллельных вариантах</w:t>
      </w:r>
      <w:r>
        <w:rPr>
          <w:rFonts w:ascii="Georgia" w:hAnsi="Georgia"/>
        </w:rPr>
        <w:t>.</w:t>
      </w:r>
    </w:p>
    <w:p w:rsidR="00000000" w:rsidRDefault="00E21C6E">
      <w:pPr>
        <w:divId w:val="87504912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1obraz.ru/system/content/image/52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2/1/2782424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Фасетные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задания - это однотипные задания, которые незначительно отличаются по содержанию или очень близки по параметрам задания (определяют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одну и ту же область знаний и имеют одинаковую трудность). Смена порядка предъявления вариантов ответа в задании без изменения их содержания не делает задание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фасетным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оно является идентичным. В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фасетных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заданиях вопрос может быть сохранен без изменений,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но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дистракторы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(неправильные ответы) должны различаться от варианта к варианту.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Рекомендации по количеству заданий и вариантов теста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количество вариантов ответа с выбором одного правильного ответа - не менее 4 вариантов ответа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количество вариантов о</w:t>
      </w:r>
      <w:r>
        <w:rPr>
          <w:rFonts w:ascii="Georgia" w:hAnsi="Georgia"/>
        </w:rPr>
        <w:t>твета с выбором всех верных ответов - 4-7 вариантов ответа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количество вариантов ответа в заданиях на установление последовательности - 4-7 вариантов ответа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  <w:i/>
          <w:iCs/>
        </w:rPr>
        <w:t>Особенности требований к тестовым заданиям открытого тип</w:t>
      </w:r>
      <w:r>
        <w:rPr>
          <w:rFonts w:ascii="Georgia" w:hAnsi="Georgia"/>
          <w:i/>
          <w:iCs/>
        </w:rPr>
        <w:t>а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К заданиям открытого типа относятся дв</w:t>
      </w:r>
      <w:r>
        <w:rPr>
          <w:rFonts w:ascii="Georgia" w:hAnsi="Georgia"/>
        </w:rPr>
        <w:t>а вида: задания-дополнения и задания свободного изложения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Ответ на задания-дополнения (задания с кратким ответом) не должен превышать 2-3 слов, чаще всего такой ответ составляет одно слово, число, символ. Эти ограничения обеспечивают однозначность оценива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Рекомендации по проектированию заданий-дополнений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каждое задание должно быть нацелено на конкретное дополнение, место для которого обозначается (например, прочерком или точками)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текст задания должен содержать минимальное количество информации, н</w:t>
      </w:r>
      <w:r>
        <w:rPr>
          <w:rFonts w:ascii="Georgia" w:hAnsi="Georgia"/>
        </w:rPr>
        <w:t>еобходимое для его правильного выполнения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Для выполнения заданий свободного изложения тестируемому необходимо сформулировать и записать развернутый ответ. Задания свободного изложения требуют экспертного оценивания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В структуру заданий свободного изложени</w:t>
      </w:r>
      <w:r>
        <w:rPr>
          <w:rFonts w:ascii="Georgia" w:hAnsi="Georgia"/>
        </w:rPr>
        <w:t>я рекомендуется включать стимульную часть (в виде текста, рисунка, графика, таблицы, схемы), которая содержит учебную информацию для ответа на несколько вопросов. Задания свободного изложения направлены на выявление действий тестируемого в разных профессио</w:t>
      </w:r>
      <w:r>
        <w:rPr>
          <w:rFonts w:ascii="Georgia" w:hAnsi="Georgia"/>
        </w:rPr>
        <w:t>нальных ситуациях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для педагогических работников: при планировании и проведении учебных занятий, формировании мотивации к обучению, организации учебной деятельности, оценивании учебных достижений, применении цифровых инструментов при обучении, взаимодейс</w:t>
      </w:r>
      <w:r>
        <w:rPr>
          <w:rFonts w:ascii="Georgia" w:hAnsi="Georgia"/>
        </w:rPr>
        <w:t xml:space="preserve">твии с обучающимися, </w:t>
      </w:r>
      <w:proofErr w:type="spellStart"/>
      <w:r>
        <w:rPr>
          <w:rFonts w:ascii="Georgia" w:hAnsi="Georgia"/>
        </w:rPr>
        <w:t>самопрезентации</w:t>
      </w:r>
      <w:proofErr w:type="spellEnd"/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для управленческих кадров: при планировании работы образовательного учреждения, реализации требований федеральных государственных образовательных стандартов, подборе и расстановке кадров, обеспечении качества образов</w:t>
      </w:r>
      <w:r>
        <w:rPr>
          <w:rFonts w:ascii="Georgia" w:hAnsi="Georgia"/>
        </w:rPr>
        <w:t>ания, создании материально-технической базы, обеспечении цифровизации образовательного процесса, защиты персональных данных, открытости и доступности информации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5.3. Самодиагностика профессиональных дефицитов на основании рефлексии профессиональной деятел</w:t>
      </w:r>
      <w:r>
        <w:rPr>
          <w:rFonts w:ascii="Georgia" w:hAnsi="Georgia"/>
        </w:rPr>
        <w:t>ьности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Универсальным инструментом для самодиагностики профессиональных дефицитов является анкета/чек-лист, обеспечивающие структурированный сбор первичных количественных данных (статистики)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Основа для структурирования - функциональные блоки профессиональ</w:t>
      </w:r>
      <w:r>
        <w:rPr>
          <w:rFonts w:ascii="Georgia" w:hAnsi="Georgia"/>
        </w:rPr>
        <w:t>ной деятельности, определяемые трудовыми функциями/должностными обязанностями диагностируемого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Рекомендуется включать в анкету/чек-лист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для педагогического работника вопросы по блокам - предметный, методический, психолого-педагогический, коммуникативны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для руководящих кадров вопросы по блокам - процессы, ресурсы, кадры, результаты, информация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Рекомендации по составлению анкет/чек-листов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вопросы анкеты делятся на закрытые (на основе выбора из готового меню), полузакрытые (меню предусматривает возможность самостоятельного ответа), открытые (предполагается свободное формулирование ответа)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количество развернутых ответов по существу задав</w:t>
      </w:r>
      <w:r>
        <w:rPr>
          <w:rFonts w:ascii="Georgia" w:hAnsi="Georgia"/>
        </w:rPr>
        <w:t>аемых открытых вопросов позволяет составить представление о глубине рефлексии профессиональных дефицитов педагогическими работниками/управленческими кадрами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вопросы должны быть сформулированы четко, ясно, исключать двусмысленность и разночтения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вопро</w:t>
      </w:r>
      <w:r>
        <w:rPr>
          <w:rFonts w:ascii="Georgia" w:hAnsi="Georgia"/>
        </w:rPr>
        <w:t>сы следует располагать исходя из принципа - от простого к сложному, от общего к частному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5.4. Диагностика профессиональных дефицитов на основании результатов профессиональной деятельности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Оценка результатов профессиональной деятельности педагогического р</w:t>
      </w:r>
      <w:r>
        <w:rPr>
          <w:rFonts w:ascii="Georgia" w:hAnsi="Georgia"/>
        </w:rPr>
        <w:t>аботника осуществляется на основании экспертного анализа его результатов в области обучения, воспитания, развития обучающихся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Оценка результатов деятельности управленческих кадров осуществляется органом, выполняющим функции и полномочия учредителя образов</w:t>
      </w:r>
      <w:r>
        <w:rPr>
          <w:rFonts w:ascii="Georgia" w:hAnsi="Georgia"/>
        </w:rPr>
        <w:t>ательной организации, в том числе в рамках аттестационных процедур на соответствие занимаемой должности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5.5. Диагностика профессиональных дефицитов на основании экспертной оценки практической деятельности педагогических работников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Диагностика может прово</w:t>
      </w:r>
      <w:r>
        <w:rPr>
          <w:rFonts w:ascii="Georgia" w:hAnsi="Georgia"/>
        </w:rPr>
        <w:t>диться в форме обсуждения открытых мероприятий: открытых уроков; выступлений в профессиональных аудиториях; участия в профессиональных конкурсах и др. Основанием для экспертной оценки может служить чек-лист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Диагностика профессиональных дефицитов управленч</w:t>
      </w:r>
      <w:r>
        <w:rPr>
          <w:rFonts w:ascii="Georgia" w:hAnsi="Georgia"/>
        </w:rPr>
        <w:t>еских кадров может производиться по итогам экспертной оценки в рамках аттестационных процедур на соответствие занимаемой должности</w:t>
      </w:r>
      <w:r>
        <w:rPr>
          <w:rFonts w:ascii="Georgia" w:hAnsi="Georgia"/>
        </w:rPr>
        <w:t>.</w:t>
      </w:r>
    </w:p>
    <w:p w:rsidR="00000000" w:rsidRDefault="00E21C6E">
      <w:pPr>
        <w:divId w:val="20851035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диагностики профессиональных дефицито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6.1. Порядок диагностики профессиональных дефицитов на основании стандартизированных оценочных процедур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Данный Порядок определяет организационное и технологическое обеспечение процедуры диагностики профессиональных дефицитов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Участие в диагностике професс</w:t>
      </w:r>
      <w:r>
        <w:rPr>
          <w:rFonts w:ascii="Georgia" w:hAnsi="Georgia"/>
        </w:rPr>
        <w:t>иональных дефицитов - добровольное, осуществляется на основании личного заявления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Оператором диагностики может выступать ЦНППМ или одна из организаций, реализующих дополнительное профессиональное образование [8]. Оператор диагностики профессиональных дефи</w:t>
      </w:r>
      <w:r>
        <w:rPr>
          <w:rFonts w:ascii="Georgia" w:hAnsi="Georgia"/>
        </w:rPr>
        <w:t>цитов назначается региональным органом исполнительной власти, осуществляющим государственное управление в сфере образования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Функции оператора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создание комиссий по разработке диагностических материалов, включающих по каждому виду диагностик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1obraz.ru/system/content/image/52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52/1/2782425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спецификацию, кодификатор, варианты диагностических зад</w:t>
      </w:r>
      <w:r>
        <w:rPr>
          <w:rFonts w:ascii="Georgia" w:hAnsi="Georgia"/>
        </w:rPr>
        <w:t>аний, критерии их оценивания, критерии определения уровней профессиональных дефицитов</w:t>
      </w:r>
      <w:r>
        <w:rPr>
          <w:rFonts w:ascii="Georgia" w:hAnsi="Georgia"/>
        </w:rPr>
        <w:t>;</w:t>
      </w:r>
    </w:p>
    <w:p w:rsidR="00000000" w:rsidRDefault="00E21C6E">
      <w:pPr>
        <w:divId w:val="7528929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1obraz.ru/system/content/image/52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2/1/2782425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Комиссии создают диагностические материалы для выявления всех видов профессиональных дефицитов для учителей-предметников и для управленческих кадров.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определение сроков, места проведения диагн</w:t>
      </w:r>
      <w:r>
        <w:rPr>
          <w:rFonts w:ascii="Georgia" w:hAnsi="Georgia"/>
        </w:rPr>
        <w:t>остики, порядка подачи заявлений об участии в диагностике, условий хранения диагностических материалов, информирование участников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создание региональных комиссий (далее - РК), участвующих в процедуре диагностики, включая председателей и заместителей пред</w:t>
      </w:r>
      <w:r>
        <w:rPr>
          <w:rFonts w:ascii="Georgia" w:hAnsi="Georgia"/>
        </w:rPr>
        <w:t>седателей, экспертов и специалистов, привлекаемых к процедуре диагностики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1obraz.ru/system/content/image/52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2/1/2782426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E21C6E">
      <w:pPr>
        <w:divId w:val="4370248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1obraz.ru/system/content/image/52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2/1/2782426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Рекомендуемые требования к членам РК: наличие высшего образования; соо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тветствие квалификационным требованиям, указанным в квалификационных справочниках и (или) профессиональных стандартах; наличие опыта работы в организациях, осуществляющих образовательную деятельность в организациях общего, высшего, дополнительного професси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онального образования (не менее трех лет).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определение порядка проверки диагностических работ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создание конфликтных комиссий, определение порядка подачи и рассмотрения апелляций по вопросам нарушения порядка, несогласия с выставленными баллами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опред</w:t>
      </w:r>
      <w:r>
        <w:rPr>
          <w:rFonts w:ascii="Georgia" w:hAnsi="Georgia"/>
        </w:rPr>
        <w:t>еление периодичности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1obraz.ru/system/content/image/52/1/27824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2/1/2782427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проведения диагностик</w:t>
      </w:r>
      <w:r>
        <w:rPr>
          <w:rFonts w:ascii="Georgia" w:hAnsi="Georgia"/>
        </w:rPr>
        <w:t xml:space="preserve">и, обеспечение </w:t>
      </w:r>
      <w:proofErr w:type="spellStart"/>
      <w:r>
        <w:rPr>
          <w:rFonts w:ascii="Georgia" w:hAnsi="Georgia"/>
        </w:rPr>
        <w:t>обновляемости</w:t>
      </w:r>
      <w:proofErr w:type="spellEnd"/>
      <w:r>
        <w:rPr>
          <w:rFonts w:ascii="Georgia" w:hAnsi="Georgia"/>
        </w:rPr>
        <w:t xml:space="preserve"> и преемственности фонда оценочных материалов</w:t>
      </w:r>
      <w:r>
        <w:rPr>
          <w:rFonts w:ascii="Georgia" w:hAnsi="Georgia"/>
        </w:rPr>
        <w:t>.</w:t>
      </w:r>
    </w:p>
    <w:p w:rsidR="00000000" w:rsidRDefault="00E21C6E">
      <w:pPr>
        <w:divId w:val="508156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1obraz.ru/system/content/image/52/1/27824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2/1/2782427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Процедуру диагностики профессиональных дефицитов на основании стандартизированных оценочных процедур рекомендуется проводить один раз в три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года, что согласуется с нормативной периодичностью повышения квалификации либо в соответствии с графиком аттестационных процедур.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Процедура диагностики проводится в пунктах проведения диагностики (далее - ППД), которые определяются оператором диагностики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Количество, общая площадь и состояние помещений, предоставляемых для проведения диагностики, должны соответствовать требованиям санитарно-эпидемиологических правил и нормативов [9]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Аудитории, предназначенные для проведения диагностики, оборудуются компьютерной и офисной техникой, телефонной связью и средствами защиты информации. Для каждого участника диагностики организуется отдельное рабочее место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В день проведения диагностики в ПП</w:t>
      </w:r>
      <w:r>
        <w:rPr>
          <w:rFonts w:ascii="Georgia" w:hAnsi="Georgia"/>
        </w:rPr>
        <w:t>Д присутствуют руководитель и организаторы диагностики, не менее одного члена РК, технический специалист по работе с аппаратным и программным обеспечением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Пакет диагностических материалов для каждого участника диагностики включает диагностические задания,</w:t>
      </w:r>
      <w:r>
        <w:rPr>
          <w:rFonts w:ascii="Georgia" w:hAnsi="Georgia"/>
        </w:rPr>
        <w:t xml:space="preserve"> бланки регистрации, бланки ответов на задания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Проверка диагностических работ представляет собой проверку ответов на задания открытого типа экспертами РК. Одну работу проверяют не менее двух экспертов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Председатель РК рассматривает результаты диагностики </w:t>
      </w:r>
      <w:r>
        <w:rPr>
          <w:rFonts w:ascii="Georgia" w:hAnsi="Georgia"/>
        </w:rPr>
        <w:t>каждого участника и принимает решение об их утверждении, изменении и (или) аннулировании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При диагностике профессиональных дефицитов в рамках курсов повышения квалификации содержание диагностических материалов определяется тематикой курсов. Рекомендуется п</w:t>
      </w:r>
      <w:r>
        <w:rPr>
          <w:rFonts w:ascii="Georgia" w:hAnsi="Georgia"/>
        </w:rPr>
        <w:t>роводить входную диагностику в начале обучения, итоговую - в конце. Данный вид диагностики может быть проведен с использованием бланковой технологии или в электронном виде (из личного кабинета слушателя курсов)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6.2. Порядок самодиагностики профессиональны</w:t>
      </w:r>
      <w:r>
        <w:rPr>
          <w:rFonts w:ascii="Georgia" w:hAnsi="Georgia"/>
        </w:rPr>
        <w:t>х дефицитов на основании рефлексии профессиональной деятельности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Данную диагностику рекомендуется проводить в рамках обучения по ДПП ПК на добровольной основе и без ограничения по времени, что позволяет получить максимально достоверные данные. Содержание </w:t>
      </w:r>
      <w:r>
        <w:rPr>
          <w:rFonts w:ascii="Georgia" w:hAnsi="Georgia"/>
        </w:rPr>
        <w:t>диагностических материалов определяется целью диагностики. Самодиагностика может быть проведена как с помощью бланковой технологии, так и в дистанционном режиме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 xml:space="preserve">6.3. Порядок диагностики профессиональных дефицитов на основании результатов профессиональной </w:t>
      </w:r>
      <w:r>
        <w:rPr>
          <w:rFonts w:ascii="Georgia" w:hAnsi="Georgia"/>
        </w:rPr>
        <w:t>деятельности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Для педагогических кадров данный порядок включает</w:t>
      </w:r>
      <w:r>
        <w:rPr>
          <w:rFonts w:ascii="Georgia" w:hAnsi="Georgia"/>
        </w:rPr>
        <w:t>: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анализ результатов независимых диагностик обучающихся, результатов стандартизированных оценочных процедур в рамках внутренней системы оценки качества образования, портфолио обучающихся, дин</w:t>
      </w:r>
      <w:r>
        <w:rPr>
          <w:rFonts w:ascii="Georgia" w:hAnsi="Georgia"/>
        </w:rPr>
        <w:t xml:space="preserve">амики </w:t>
      </w:r>
      <w:proofErr w:type="gramStart"/>
      <w:r>
        <w:rPr>
          <w:rFonts w:ascii="Georgia" w:hAnsi="Georgia"/>
        </w:rPr>
        <w:t>личностных результатов</w:t>
      </w:r>
      <w:proofErr w:type="gramEnd"/>
      <w:r>
        <w:rPr>
          <w:rFonts w:ascii="Georgia" w:hAnsi="Georgia"/>
        </w:rPr>
        <w:t xml:space="preserve"> обучающихся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- установление корреляции между результатами анализа и профессиональными дефицитами (предметными, методическими, психолого-педагогическими, коммуникативными)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Для управленческих кадров данный порядок включает анали</w:t>
      </w:r>
      <w:r>
        <w:rPr>
          <w:rFonts w:ascii="Georgia" w:hAnsi="Georgia"/>
        </w:rPr>
        <w:t>з динамики объективных результатов деятельности образовательной организации; установление корреляции между результатами анализа и профессиональными дефицитами руководителей образовательных организаций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6.4. Порядок диагностики профессиональных дефицитов на</w:t>
      </w:r>
      <w:r>
        <w:rPr>
          <w:rFonts w:ascii="Georgia" w:hAnsi="Georgia"/>
        </w:rPr>
        <w:t xml:space="preserve"> основании экспертной оценки практической (предметно-методической/управленческой) деятельности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Порядок включает участие диагностируемого в открытом мероприятии, его анализ и подготовку заключения о выявленных профессиональных дефицитах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6.5. Процедуры сам</w:t>
      </w:r>
      <w:r>
        <w:rPr>
          <w:rFonts w:ascii="Georgia" w:hAnsi="Georgia"/>
        </w:rPr>
        <w:t>одиагностики профессиональных дефицитов на основании рефлексии профессиональной деятельности, диагностики профессиональных дефицитов на основании результатов профессиональной деятельности, диагностики профессиональных дефицитов на основании экспертной оцен</w:t>
      </w:r>
      <w:r>
        <w:rPr>
          <w:rFonts w:ascii="Georgia" w:hAnsi="Georgia"/>
        </w:rPr>
        <w:t>ки практической (предметно-методической/управленческой) деятельности не имеют строгой периодичности</w:t>
      </w:r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Результаты этих процедур, в сочетании с результатами диагностики профессиональных дефицитов на основании стандартизированных оценочных процедур, являются о</w:t>
      </w:r>
      <w:r>
        <w:rPr>
          <w:rFonts w:ascii="Georgia" w:hAnsi="Georgia"/>
        </w:rPr>
        <w:t xml:space="preserve">снованием для формирования комплексного </w:t>
      </w:r>
      <w:proofErr w:type="spellStart"/>
      <w:r>
        <w:rPr>
          <w:rFonts w:ascii="Georgia" w:hAnsi="Georgia"/>
        </w:rPr>
        <w:t>дефицитарного</w:t>
      </w:r>
      <w:proofErr w:type="spellEnd"/>
      <w:r>
        <w:rPr>
          <w:rFonts w:ascii="Georgia" w:hAnsi="Georgia"/>
        </w:rPr>
        <w:t xml:space="preserve"> профиля работника, на основании которого может строиться индивидуальный план профессионального развития</w:t>
      </w:r>
      <w:r>
        <w:rPr>
          <w:rFonts w:ascii="Georgia" w:hAnsi="Georgia"/>
        </w:rPr>
        <w:t>.</w:t>
      </w:r>
    </w:p>
    <w:p w:rsidR="00000000" w:rsidRDefault="00E21C6E">
      <w:pPr>
        <w:divId w:val="13005704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Возможность получения индивидуального план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Комплексная диагностика позволяет выявить специфич</w:t>
      </w:r>
      <w:r>
        <w:rPr>
          <w:rFonts w:ascii="Georgia" w:hAnsi="Georgia"/>
        </w:rPr>
        <w:t>еские профессиональные дефициты педагогических работников и управленческих кадров. Результаты диагностики являются основанием для построения индивидуального плана профессионального развития. После прохождения диагностики работник получает рекомендацию восп</w:t>
      </w:r>
      <w:r>
        <w:rPr>
          <w:rFonts w:ascii="Georgia" w:hAnsi="Georgia"/>
        </w:rPr>
        <w:t>олнить свои дефициты как по содержанию, так и по форме. Так, эффективное восполнение профессиональных дефицитов на основе индивидуальных образовательных маршрутов профессионального развития может осуществляться посредством обучения по дополнительным профес</w:t>
      </w:r>
      <w:r>
        <w:rPr>
          <w:rFonts w:ascii="Georgia" w:hAnsi="Georgia"/>
        </w:rPr>
        <w:t>сиональным программам в сочетании с мероприятиями неформального образования (перекрестное посещение уроков, участие в семинарах/</w:t>
      </w:r>
      <w:proofErr w:type="spellStart"/>
      <w:r>
        <w:rPr>
          <w:rFonts w:ascii="Georgia" w:hAnsi="Georgia"/>
        </w:rPr>
        <w:t>вебинарах</w:t>
      </w:r>
      <w:proofErr w:type="spellEnd"/>
      <w:r>
        <w:rPr>
          <w:rFonts w:ascii="Georgia" w:hAnsi="Georgia"/>
        </w:rPr>
        <w:t>, работа с методическими материалами, участие в профессиональных олимпиадах и конкурсах разного уровня и др.), стажиров</w:t>
      </w:r>
      <w:r>
        <w:rPr>
          <w:rFonts w:ascii="Georgia" w:hAnsi="Georgia"/>
        </w:rPr>
        <w:t>кой (индивидуальной или групповой) и т.д</w:t>
      </w:r>
      <w:r>
        <w:rPr>
          <w:rFonts w:ascii="Georgia" w:hAnsi="Georgia"/>
        </w:rPr>
        <w:t>.</w:t>
      </w:r>
    </w:p>
    <w:p w:rsidR="00000000" w:rsidRDefault="00E21C6E">
      <w:pPr>
        <w:divId w:val="14704397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Список использованных источнико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1. Распоряжение Министерства просвещения Российской Федерации от 16 декабря 2020 г. № Р-174 "Об утверждении Концепции создания единой федеральной системы научно-методического сопров</w:t>
      </w:r>
      <w:r>
        <w:rPr>
          <w:rFonts w:ascii="Georgia" w:hAnsi="Georgia"/>
        </w:rPr>
        <w:t>ождения педагогических работников и управленческих кадров"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18" w:anchor="/document/99/565341150/XA00M1S2LR/" w:history="1">
        <w:r>
          <w:rPr>
            <w:rStyle w:val="a4"/>
            <w:rFonts w:ascii="Georgia" w:hAnsi="Georgia"/>
          </w:rPr>
          <w:t>Указ Президента Российской Федерации от 21.07.2020 № 474 "О национальных целях развития Российской Федерации на период до 2030 года"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3. Письмо Министерства образования и науки Российской Федерации от 27 декабря 2017 г. № 08-2739 "О модернизации системы до</w:t>
      </w:r>
      <w:r>
        <w:rPr>
          <w:rFonts w:ascii="Georgia" w:hAnsi="Georgia"/>
        </w:rPr>
        <w:t>полнительного педагогического образования в Российской Федерации"</w:t>
      </w:r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 xml:space="preserve"> </w:t>
      </w:r>
      <w:hyperlink r:id="rId19" w:anchor="/document/99/499053710/" w:history="1">
        <w:r>
          <w:rPr>
            <w:rStyle w:val="a4"/>
            <w:rFonts w:ascii="Georgia" w:hAnsi="Georgia"/>
          </w:rPr>
          <w:t>Приказ Министерства труда и социальной защиты Российской Федерации от 18 октября 2013 г. № 544н "Об утверждении профессион</w:t>
        </w:r>
        <w:r>
          <w:rPr>
            <w:rStyle w:val="a4"/>
            <w:rFonts w:ascii="Georgia" w:hAnsi="Georgia"/>
          </w:rPr>
          <w:t>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20" w:anchor="/document/99/902233423/" w:history="1">
        <w:r>
          <w:rPr>
            <w:rStyle w:val="a4"/>
            <w:rFonts w:ascii="Georgia" w:hAnsi="Georgia"/>
          </w:rPr>
          <w:t>Приказ Министерства з</w:t>
        </w:r>
        <w:r>
          <w:rPr>
            <w:rStyle w:val="a4"/>
            <w:rFonts w:ascii="Georgia" w:hAnsi="Georgia"/>
          </w:rPr>
          <w:t>дравоохранения и социального развития Российской Федерации от 26 августа 2010 г. № 761н</w:t>
        </w:r>
      </w:hyperlink>
      <w:r>
        <w:rPr>
          <w:rFonts w:ascii="Georgia" w:hAnsi="Georgia"/>
        </w:rPr>
        <w:t xml:space="preserve"> (ред.</w:t>
      </w:r>
      <w:r>
        <w:rPr>
          <w:rFonts w:ascii="Georgia" w:hAnsi="Georgia"/>
        </w:rPr>
        <w:t xml:space="preserve"> </w:t>
      </w:r>
      <w:hyperlink r:id="rId21" w:anchor="/document/99/902283249/" w:history="1">
        <w:r>
          <w:rPr>
            <w:rStyle w:val="a4"/>
            <w:rFonts w:ascii="Georgia" w:hAnsi="Georgia"/>
          </w:rPr>
          <w:t>от 31 мая 2011 г. № 448н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hyperlink r:id="rId22" w:anchor="/document/99/902233423/" w:history="1">
        <w:r>
          <w:rPr>
            <w:rStyle w:val="a4"/>
            <w:rFonts w:ascii="Georgia" w:hAnsi="Georgia"/>
          </w:rPr>
          <w:t>"Об утве</w:t>
        </w:r>
        <w:r>
          <w:rPr>
            <w:rStyle w:val="a4"/>
            <w:rFonts w:ascii="Georgia" w:hAnsi="Georgia"/>
          </w:rPr>
          <w:t>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 xml:space="preserve"> </w:t>
      </w:r>
      <w:hyperlink r:id="rId23" w:anchor="/document/99/902389617/XA00M1S2LR/" w:history="1">
        <w:r>
          <w:rPr>
            <w:rStyle w:val="a4"/>
            <w:rFonts w:ascii="Georgia" w:hAnsi="Georgia"/>
          </w:rPr>
          <w:t>Федер</w:t>
        </w:r>
        <w:r>
          <w:rPr>
            <w:rStyle w:val="a4"/>
            <w:rFonts w:ascii="Georgia" w:hAnsi="Georgia"/>
          </w:rPr>
          <w:t>альный закон от 29 декабря 2012 г. № 273-ФЗ</w:t>
        </w:r>
      </w:hyperlink>
      <w:r>
        <w:rPr>
          <w:rFonts w:ascii="Georgia" w:hAnsi="Georgia"/>
        </w:rPr>
        <w:t xml:space="preserve"> (ред.</w:t>
      </w:r>
      <w:r>
        <w:rPr>
          <w:rFonts w:ascii="Georgia" w:hAnsi="Georgia"/>
        </w:rPr>
        <w:t xml:space="preserve"> </w:t>
      </w:r>
      <w:hyperlink r:id="rId24" w:anchor="/document/99/607143001/XA00M6G2N3/" w:history="1">
        <w:r>
          <w:rPr>
            <w:rStyle w:val="a4"/>
            <w:rFonts w:ascii="Georgia" w:hAnsi="Georgia"/>
          </w:rPr>
          <w:t>от 2 июля 2021 г. № 351-ФЗ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hyperlink r:id="rId25" w:anchor="/document/99/902389617/XA00M1S2LR/" w:history="1">
        <w:r>
          <w:rPr>
            <w:rStyle w:val="a4"/>
            <w:rFonts w:ascii="Georgia" w:hAnsi="Georgia"/>
          </w:rPr>
          <w:t>"Об образовании в Российской</w:t>
        </w:r>
        <w:r>
          <w:rPr>
            <w:rStyle w:val="a4"/>
            <w:rFonts w:ascii="Georgia" w:hAnsi="Georgia"/>
          </w:rPr>
          <w:t xml:space="preserve"> Федерации"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hyperlink r:id="rId26" w:anchor="/document/99/901990046/" w:history="1">
        <w:r>
          <w:rPr>
            <w:rStyle w:val="a4"/>
            <w:rFonts w:ascii="Georgia" w:hAnsi="Georgia"/>
          </w:rPr>
          <w:t>Федеральный закон от 27 июля 2006 г. № 152-ФЗ</w:t>
        </w:r>
      </w:hyperlink>
      <w:r>
        <w:rPr>
          <w:rFonts w:ascii="Georgia" w:hAnsi="Georgia"/>
        </w:rPr>
        <w:t xml:space="preserve"> (ред.</w:t>
      </w:r>
      <w:r>
        <w:rPr>
          <w:rFonts w:ascii="Georgia" w:hAnsi="Georgia"/>
        </w:rPr>
        <w:t xml:space="preserve"> </w:t>
      </w:r>
      <w:hyperlink r:id="rId27" w:anchor="/document/99/607142458/XA00M6G2N3/" w:history="1">
        <w:r>
          <w:rPr>
            <w:rStyle w:val="a4"/>
            <w:rFonts w:ascii="Georgia" w:hAnsi="Georgia"/>
          </w:rPr>
          <w:t>от 2 июля 2021 г. № 331-ФЗ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hyperlink r:id="rId28" w:anchor="/document/99/901990046/" w:history="1">
        <w:r>
          <w:rPr>
            <w:rStyle w:val="a4"/>
            <w:rFonts w:ascii="Georgia" w:hAnsi="Georgia"/>
          </w:rPr>
          <w:t>"О персональных данных"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 xml:space="preserve"> </w:t>
      </w:r>
      <w:hyperlink r:id="rId29" w:anchor="/document/99/573529566/XA00M6G2N3/" w:history="1">
        <w:r>
          <w:rPr>
            <w:rStyle w:val="a4"/>
            <w:rFonts w:ascii="Georgia" w:hAnsi="Georgia"/>
          </w:rPr>
          <w:t>Распоряжение Министерства просвещения Российской Федерации от 4 февраля 2021 г. № Р-33 "Об утверждении методич</w:t>
        </w:r>
        <w:r>
          <w:rPr>
            <w:rStyle w:val="a4"/>
            <w:rFonts w:ascii="Georgia" w:hAnsi="Georgia"/>
          </w:rPr>
          <w:t>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кадров"</w:t>
        </w:r>
      </w:hyperlink>
      <w:r>
        <w:rPr>
          <w:rFonts w:ascii="Georgia" w:hAnsi="Georgia"/>
        </w:rPr>
        <w:t>;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t>9.</w:t>
      </w:r>
      <w:r>
        <w:rPr>
          <w:rFonts w:ascii="Georgia" w:hAnsi="Georgia"/>
        </w:rPr>
        <w:t xml:space="preserve"> </w:t>
      </w:r>
      <w:hyperlink r:id="rId30" w:anchor="/document/99/566085656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28 сентября 2020 г. № 28 "Об утверждении санитарных правил СП 2.4.3648-20 "Санитарно-эпидемиологиче</w:t>
        </w:r>
        <w:r>
          <w:rPr>
            <w:rStyle w:val="a4"/>
            <w:rFonts w:ascii="Georgia" w:hAnsi="Georgia"/>
          </w:rPr>
          <w:t>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>.</w:t>
      </w:r>
    </w:p>
    <w:p w:rsidR="00000000" w:rsidRDefault="00E21C6E">
      <w:pPr>
        <w:spacing w:after="223"/>
        <w:jc w:val="both"/>
        <w:divId w:val="115333324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21C6E" w:rsidRDefault="00E21C6E">
      <w:pPr>
        <w:divId w:val="1319571472"/>
        <w:rPr>
          <w:rFonts w:ascii="Arial" w:eastAsia="Times New Roman" w:hAnsi="Arial" w:cs="Arial"/>
          <w:sz w:val="20"/>
          <w:szCs w:val="20"/>
        </w:rPr>
      </w:pPr>
    </w:p>
    <w:sectPr w:rsidR="00E2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07E0"/>
    <w:rsid w:val="00AF07E0"/>
    <w:rsid w:val="00D86A4D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E19FF"/>
  <w15:chartTrackingRefBased/>
  <w15:docId w15:val="{ED3E7DF6-DA6D-47D4-A1D8-069275EE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31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32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9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7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7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8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4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7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0491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5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9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8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6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4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7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4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52/1/2782427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braz.ru/system/content/image/52/1/2782426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5" Type="http://schemas.openxmlformats.org/officeDocument/2006/relationships/image" Target="https://1obraz.ru/system/content/image/52/1/2782425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image" Target="https://1obraz.ru/system/content/image/52/1/2782424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2023-12-09T14:41:00Z</dcterms:created>
  <dcterms:modified xsi:type="dcterms:W3CDTF">2023-12-09T14:41:00Z</dcterms:modified>
</cp:coreProperties>
</file>